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956F" w14:textId="77777777" w:rsidR="006666B1" w:rsidRDefault="006666B1">
      <w:pPr>
        <w:spacing w:before="120" w:after="240"/>
        <w:jc w:val="center"/>
        <w:rPr>
          <w:color w:val="000000"/>
        </w:rPr>
      </w:pPr>
    </w:p>
    <w:p w14:paraId="2E316F1F" w14:textId="3980BA93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MATRIZ DE RISCOS</w:t>
      </w:r>
    </w:p>
    <w:p w14:paraId="4E277E87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</w:p>
    <w:p w14:paraId="6AA6BB9F" w14:textId="71BECA7B" w:rsidR="00471136" w:rsidRDefault="002855CD" w:rsidP="00471136">
      <w:pPr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Objeto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472EDA">
        <w:rPr>
          <w:rFonts w:ascii="Arial" w:eastAsia="Times New Roman" w:hAnsi="Arial" w:cs="Arial"/>
          <w:sz w:val="24"/>
          <w:szCs w:val="24"/>
          <w:lang w:eastAsia="pt-BR"/>
        </w:rPr>
        <w:t>C</w:t>
      </w:r>
      <w:r w:rsidR="00472EDA" w:rsidRPr="00472EDA">
        <w:rPr>
          <w:rFonts w:ascii="Arial" w:eastAsia="Times New Roman" w:hAnsi="Arial" w:cs="Arial"/>
          <w:sz w:val="24"/>
          <w:szCs w:val="24"/>
          <w:lang w:eastAsia="pt-BR"/>
        </w:rPr>
        <w:t xml:space="preserve">ontratação de empresa de engenharia para pavimentação de vias na zona urbana do </w:t>
      </w:r>
      <w:r w:rsidR="00472EDA">
        <w:rPr>
          <w:rFonts w:ascii="Arial" w:eastAsia="Times New Roman" w:hAnsi="Arial" w:cs="Arial"/>
          <w:sz w:val="24"/>
          <w:szCs w:val="24"/>
          <w:lang w:eastAsia="pt-BR"/>
        </w:rPr>
        <w:t>M</w:t>
      </w:r>
      <w:r w:rsidR="00472EDA" w:rsidRPr="00472EDA">
        <w:rPr>
          <w:rFonts w:ascii="Arial" w:eastAsia="Times New Roman" w:hAnsi="Arial" w:cs="Arial"/>
          <w:sz w:val="24"/>
          <w:szCs w:val="24"/>
          <w:lang w:eastAsia="pt-BR"/>
        </w:rPr>
        <w:t>unic</w:t>
      </w:r>
      <w:r w:rsidR="00472EDA">
        <w:rPr>
          <w:rFonts w:ascii="Arial" w:eastAsia="Times New Roman" w:hAnsi="Arial" w:cs="Arial"/>
          <w:sz w:val="24"/>
          <w:szCs w:val="24"/>
          <w:lang w:eastAsia="pt-BR"/>
        </w:rPr>
        <w:t>í</w:t>
      </w:r>
      <w:r w:rsidR="00472EDA" w:rsidRPr="00472EDA">
        <w:rPr>
          <w:rFonts w:ascii="Arial" w:eastAsia="Times New Roman" w:hAnsi="Arial" w:cs="Arial"/>
          <w:sz w:val="24"/>
          <w:szCs w:val="24"/>
          <w:lang w:eastAsia="pt-BR"/>
        </w:rPr>
        <w:t xml:space="preserve">pio de </w:t>
      </w:r>
      <w:r w:rsidR="00472EDA">
        <w:rPr>
          <w:rFonts w:ascii="Arial" w:eastAsia="Times New Roman" w:hAnsi="Arial" w:cs="Arial"/>
          <w:sz w:val="24"/>
          <w:szCs w:val="24"/>
          <w:lang w:eastAsia="pt-BR"/>
        </w:rPr>
        <w:t>B</w:t>
      </w:r>
      <w:r w:rsidR="00472EDA" w:rsidRPr="00472EDA">
        <w:rPr>
          <w:rFonts w:ascii="Arial" w:eastAsia="Times New Roman" w:hAnsi="Arial" w:cs="Arial"/>
          <w:sz w:val="24"/>
          <w:szCs w:val="24"/>
          <w:lang w:eastAsia="pt-BR"/>
        </w:rPr>
        <w:t xml:space="preserve">elo </w:t>
      </w:r>
      <w:r w:rsidR="00472EDA">
        <w:rPr>
          <w:rFonts w:ascii="Arial" w:eastAsia="Times New Roman" w:hAnsi="Arial" w:cs="Arial"/>
          <w:sz w:val="24"/>
          <w:szCs w:val="24"/>
          <w:lang w:eastAsia="pt-BR"/>
        </w:rPr>
        <w:t>J</w:t>
      </w:r>
      <w:r w:rsidR="00472EDA" w:rsidRPr="00472EDA">
        <w:rPr>
          <w:rFonts w:ascii="Arial" w:eastAsia="Times New Roman" w:hAnsi="Arial" w:cs="Arial"/>
          <w:sz w:val="24"/>
          <w:szCs w:val="24"/>
          <w:lang w:eastAsia="pt-BR"/>
        </w:rPr>
        <w:t xml:space="preserve">ardim – </w:t>
      </w:r>
      <w:r w:rsidR="00472EDA">
        <w:rPr>
          <w:rFonts w:ascii="Arial" w:eastAsia="Times New Roman" w:hAnsi="Arial" w:cs="Arial"/>
          <w:sz w:val="24"/>
          <w:szCs w:val="24"/>
          <w:lang w:eastAsia="pt-BR"/>
        </w:rPr>
        <w:t>PE.</w:t>
      </w:r>
    </w:p>
    <w:p w14:paraId="381F94FA" w14:textId="551D8150" w:rsidR="002855CD" w:rsidRDefault="002855CD" w:rsidP="00471136">
      <w:pPr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Modalidade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>:</w:t>
      </w:r>
      <w:r w:rsidR="005B5CA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Concorrência</w:t>
      </w:r>
      <w:r w:rsidR="005B5CA8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Vigência contratual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471136">
        <w:rPr>
          <w:rFonts w:ascii="Arial" w:eastAsia="Times New Roman" w:hAnsi="Arial" w:cs="Arial"/>
          <w:sz w:val="24"/>
          <w:szCs w:val="24"/>
          <w:lang w:eastAsia="pt-BR"/>
        </w:rPr>
        <w:t>0</w:t>
      </w:r>
      <w:r w:rsidR="00472EDA">
        <w:rPr>
          <w:rFonts w:ascii="Arial" w:eastAsia="Times New Roman" w:hAnsi="Arial" w:cs="Arial"/>
          <w:sz w:val="24"/>
          <w:szCs w:val="24"/>
          <w:lang w:eastAsia="pt-BR"/>
        </w:rPr>
        <w:t>3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meses</w:t>
      </w:r>
    </w:p>
    <w:p w14:paraId="5C727E2E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EA2FB8F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1. Conceito Legal</w:t>
      </w:r>
    </w:p>
    <w:p w14:paraId="3D997464" w14:textId="77777777" w:rsidR="002855CD" w:rsidRPr="002855CD" w:rsidRDefault="002855CD" w:rsidP="009A2A16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A Matriz de Riscos é o instrumento que define a alocação objetiva dos riscos entre a Administração Pública e o contratado, indicando:</w:t>
      </w:r>
    </w:p>
    <w:p w14:paraId="4312F931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Eventos supervenientes;</w:t>
      </w:r>
    </w:p>
    <w:p w14:paraId="49EEB6F9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Responsável pelo risco;</w:t>
      </w:r>
    </w:p>
    <w:p w14:paraId="65EE570E" w14:textId="77777777" w:rsidR="002855CD" w:rsidRP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Consequências econômico-financeiras;</w:t>
      </w:r>
    </w:p>
    <w:p w14:paraId="038EA3CF" w14:textId="6EFD36DD" w:rsidR="002855CD" w:rsidRDefault="002855CD" w:rsidP="009A2A16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Medidas de mitigação.</w:t>
      </w:r>
    </w:p>
    <w:p w14:paraId="032EBEE4" w14:textId="7BE1F016" w:rsidR="00C751D0" w:rsidRDefault="00C751D0" w:rsidP="00C751D0">
      <w:pPr>
        <w:suppressAutoHyphens w:val="0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4"/>
          <w:szCs w:val="24"/>
          <w:lang w:eastAsia="pt-BR"/>
        </w:rPr>
      </w:pPr>
    </w:p>
    <w:p w14:paraId="1DAB95BE" w14:textId="3EFC24E6" w:rsidR="00471136" w:rsidRPr="00471136" w:rsidRDefault="005B5CA8" w:rsidP="00471136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2. </w:t>
      </w:r>
      <w:r w:rsidRPr="005B5CA8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Matriz de Risco – Obras de </w:t>
      </w:r>
      <w:r w:rsidR="0047113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pavimentação</w:t>
      </w:r>
    </w:p>
    <w:tbl>
      <w:tblPr>
        <w:tblW w:w="9782" w:type="dxa"/>
        <w:tblCellSpacing w:w="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1701"/>
        <w:gridCol w:w="1054"/>
        <w:gridCol w:w="640"/>
        <w:gridCol w:w="716"/>
        <w:gridCol w:w="1844"/>
        <w:gridCol w:w="1843"/>
        <w:gridCol w:w="1559"/>
      </w:tblGrid>
      <w:tr w:rsidR="00471136" w:rsidRPr="00471136" w14:paraId="5E3C1D66" w14:textId="77777777" w:rsidTr="00471136">
        <w:trPr>
          <w:tblHeader/>
          <w:tblCellSpacing w:w="15" w:type="dxa"/>
        </w:trPr>
        <w:tc>
          <w:tcPr>
            <w:tcW w:w="380" w:type="dxa"/>
            <w:vAlign w:val="center"/>
            <w:hideMark/>
          </w:tcPr>
          <w:p w14:paraId="5A9C5E82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Nº</w:t>
            </w:r>
          </w:p>
        </w:tc>
        <w:tc>
          <w:tcPr>
            <w:tcW w:w="1671" w:type="dxa"/>
            <w:vAlign w:val="center"/>
            <w:hideMark/>
          </w:tcPr>
          <w:p w14:paraId="3BE27BD1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Risco Identificado</w:t>
            </w:r>
          </w:p>
        </w:tc>
        <w:tc>
          <w:tcPr>
            <w:tcW w:w="1024" w:type="dxa"/>
            <w:vAlign w:val="center"/>
            <w:hideMark/>
          </w:tcPr>
          <w:p w14:paraId="7AB4CB8D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Probabilidade</w:t>
            </w:r>
          </w:p>
        </w:tc>
        <w:tc>
          <w:tcPr>
            <w:tcW w:w="0" w:type="auto"/>
            <w:vAlign w:val="center"/>
            <w:hideMark/>
          </w:tcPr>
          <w:p w14:paraId="04F1DD22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4DBD0D09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Nível de Risco</w:t>
            </w:r>
          </w:p>
        </w:tc>
        <w:tc>
          <w:tcPr>
            <w:tcW w:w="1814" w:type="dxa"/>
            <w:vAlign w:val="center"/>
            <w:hideMark/>
          </w:tcPr>
          <w:p w14:paraId="68A9E823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Medidas Preventivas</w:t>
            </w:r>
          </w:p>
        </w:tc>
        <w:tc>
          <w:tcPr>
            <w:tcW w:w="1813" w:type="dxa"/>
            <w:vAlign w:val="center"/>
            <w:hideMark/>
          </w:tcPr>
          <w:p w14:paraId="593B66B2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Plano de Contingência</w:t>
            </w:r>
          </w:p>
        </w:tc>
        <w:tc>
          <w:tcPr>
            <w:tcW w:w="1514" w:type="dxa"/>
            <w:vAlign w:val="center"/>
            <w:hideMark/>
          </w:tcPr>
          <w:p w14:paraId="56DFAEA7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Responsável</w:t>
            </w:r>
          </w:p>
        </w:tc>
      </w:tr>
      <w:tr w:rsidR="00471136" w:rsidRPr="00471136" w14:paraId="1386D543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4340BF00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671" w:type="dxa"/>
            <w:vAlign w:val="center"/>
            <w:hideMark/>
          </w:tcPr>
          <w:p w14:paraId="25EC40E3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Projeto básico/executivo com falhas ou informações insuficientes</w:t>
            </w:r>
          </w:p>
        </w:tc>
        <w:tc>
          <w:tcPr>
            <w:tcW w:w="1024" w:type="dxa"/>
            <w:vAlign w:val="center"/>
            <w:hideMark/>
          </w:tcPr>
          <w:p w14:paraId="73820ECA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5F7E62C7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0EA04ED4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1814" w:type="dxa"/>
            <w:vAlign w:val="center"/>
            <w:hideMark/>
          </w:tcPr>
          <w:p w14:paraId="36FCC906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Realizar levantamentos topográficos e estudos técnicos detalhados antes da licitação</w:t>
            </w:r>
          </w:p>
        </w:tc>
        <w:tc>
          <w:tcPr>
            <w:tcW w:w="1813" w:type="dxa"/>
            <w:vAlign w:val="center"/>
            <w:hideMark/>
          </w:tcPr>
          <w:p w14:paraId="1AB8B2E3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Revisão e adequação dos projetos mediante justificativa técnica</w:t>
            </w:r>
          </w:p>
        </w:tc>
        <w:tc>
          <w:tcPr>
            <w:tcW w:w="1514" w:type="dxa"/>
            <w:vAlign w:val="center"/>
            <w:hideMark/>
          </w:tcPr>
          <w:p w14:paraId="3AB381C9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Equipe Técnica</w:t>
            </w:r>
          </w:p>
        </w:tc>
      </w:tr>
      <w:tr w:rsidR="00471136" w:rsidRPr="00471136" w14:paraId="3884FD4C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36B02BA1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671" w:type="dxa"/>
            <w:vAlign w:val="center"/>
            <w:hideMark/>
          </w:tcPr>
          <w:p w14:paraId="1F86937C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Orçamento estimativo incompatível com os preços de mercado</w:t>
            </w:r>
          </w:p>
        </w:tc>
        <w:tc>
          <w:tcPr>
            <w:tcW w:w="1024" w:type="dxa"/>
            <w:vAlign w:val="center"/>
            <w:hideMark/>
          </w:tcPr>
          <w:p w14:paraId="08D4C747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65EDB05A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6A936A6C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1814" w:type="dxa"/>
            <w:vAlign w:val="center"/>
            <w:hideMark/>
          </w:tcPr>
          <w:p w14:paraId="3466A97F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Utilizar bases oficiais de preços (SINAPI, SICRO e demais referências válidas) atualizadas</w:t>
            </w:r>
          </w:p>
        </w:tc>
        <w:tc>
          <w:tcPr>
            <w:tcW w:w="1813" w:type="dxa"/>
            <w:vAlign w:val="center"/>
            <w:hideMark/>
          </w:tcPr>
          <w:p w14:paraId="61813511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Revisão orçamentária antes da contratação</w:t>
            </w:r>
          </w:p>
        </w:tc>
        <w:tc>
          <w:tcPr>
            <w:tcW w:w="1514" w:type="dxa"/>
            <w:vAlign w:val="center"/>
            <w:hideMark/>
          </w:tcPr>
          <w:p w14:paraId="34DDB567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Setor de Engenharia</w:t>
            </w:r>
          </w:p>
        </w:tc>
      </w:tr>
      <w:tr w:rsidR="00471136" w:rsidRPr="00471136" w14:paraId="5DF858A8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60F60E05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671" w:type="dxa"/>
            <w:vAlign w:val="center"/>
            <w:hideMark/>
          </w:tcPr>
          <w:p w14:paraId="5A84C59C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Fracasso da licitação por ausência de interessados</w:t>
            </w:r>
          </w:p>
        </w:tc>
        <w:tc>
          <w:tcPr>
            <w:tcW w:w="1024" w:type="dxa"/>
            <w:vAlign w:val="center"/>
            <w:hideMark/>
          </w:tcPr>
          <w:p w14:paraId="329DCBD0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6AA0B1BE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1CFB54B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1814" w:type="dxa"/>
            <w:vAlign w:val="center"/>
            <w:hideMark/>
          </w:tcPr>
          <w:p w14:paraId="086ACDF9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Ampla divulgação do certame e definição adequada dos requisitos de habilitação</w:t>
            </w:r>
          </w:p>
        </w:tc>
        <w:tc>
          <w:tcPr>
            <w:tcW w:w="1813" w:type="dxa"/>
            <w:vAlign w:val="center"/>
            <w:hideMark/>
          </w:tcPr>
          <w:p w14:paraId="046C8721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Republicação do edital com ajustes necessários</w:t>
            </w:r>
          </w:p>
        </w:tc>
        <w:tc>
          <w:tcPr>
            <w:tcW w:w="1514" w:type="dxa"/>
            <w:vAlign w:val="center"/>
            <w:hideMark/>
          </w:tcPr>
          <w:p w14:paraId="52889CE8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Comissão de Licitação</w:t>
            </w:r>
          </w:p>
        </w:tc>
      </w:tr>
      <w:tr w:rsidR="00471136" w:rsidRPr="00471136" w14:paraId="5682E20B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1B6DFFD9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671" w:type="dxa"/>
            <w:vAlign w:val="center"/>
            <w:hideMark/>
          </w:tcPr>
          <w:p w14:paraId="65FCE100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Impugnações ou recursos que atrasem o processo</w:t>
            </w:r>
          </w:p>
        </w:tc>
        <w:tc>
          <w:tcPr>
            <w:tcW w:w="1024" w:type="dxa"/>
            <w:vAlign w:val="center"/>
            <w:hideMark/>
          </w:tcPr>
          <w:p w14:paraId="3150AD8B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7F1E8097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50380B8D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1814" w:type="dxa"/>
            <w:vAlign w:val="center"/>
            <w:hideMark/>
          </w:tcPr>
          <w:p w14:paraId="1120133E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Elaboração criteriosa do edital e análise jurídica prévia</w:t>
            </w:r>
          </w:p>
        </w:tc>
        <w:tc>
          <w:tcPr>
            <w:tcW w:w="1813" w:type="dxa"/>
            <w:vAlign w:val="center"/>
            <w:hideMark/>
          </w:tcPr>
          <w:p w14:paraId="168EDE09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Resposta tempestiva aos questionamentos apresentados</w:t>
            </w:r>
          </w:p>
        </w:tc>
        <w:tc>
          <w:tcPr>
            <w:tcW w:w="1514" w:type="dxa"/>
            <w:vAlign w:val="center"/>
            <w:hideMark/>
          </w:tcPr>
          <w:p w14:paraId="01E8AEB4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CPL e Procuradoria</w:t>
            </w:r>
          </w:p>
        </w:tc>
      </w:tr>
      <w:tr w:rsidR="00471136" w:rsidRPr="00471136" w14:paraId="6E8091AB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762691BE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5</w:t>
            </w:r>
          </w:p>
        </w:tc>
        <w:tc>
          <w:tcPr>
            <w:tcW w:w="1671" w:type="dxa"/>
            <w:vAlign w:val="center"/>
            <w:hideMark/>
          </w:tcPr>
          <w:p w14:paraId="40B21D62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Empresa contratada apresentar dificuldades financeiras durante a execução</w:t>
            </w:r>
          </w:p>
        </w:tc>
        <w:tc>
          <w:tcPr>
            <w:tcW w:w="1024" w:type="dxa"/>
            <w:vAlign w:val="center"/>
            <w:hideMark/>
          </w:tcPr>
          <w:p w14:paraId="0C1E2015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7AC1732F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6A6CBCB2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1814" w:type="dxa"/>
            <w:vAlign w:val="center"/>
            <w:hideMark/>
          </w:tcPr>
          <w:p w14:paraId="688FE4C9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Exigir qualificação econômico-financeira compatível com a complexidade da obra</w:t>
            </w:r>
          </w:p>
        </w:tc>
        <w:tc>
          <w:tcPr>
            <w:tcW w:w="1813" w:type="dxa"/>
            <w:vAlign w:val="center"/>
            <w:hideMark/>
          </w:tcPr>
          <w:p w14:paraId="7348D0FA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Aplicação das sanções contratuais e convocação dos remanescentes, quando cabível</w:t>
            </w:r>
          </w:p>
        </w:tc>
        <w:tc>
          <w:tcPr>
            <w:tcW w:w="1514" w:type="dxa"/>
            <w:vAlign w:val="center"/>
            <w:hideMark/>
          </w:tcPr>
          <w:p w14:paraId="4B85FE7B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Fiscal do Contrato</w:t>
            </w:r>
          </w:p>
        </w:tc>
      </w:tr>
      <w:tr w:rsidR="00471136" w:rsidRPr="00471136" w14:paraId="33DAC7D1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556136EB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671" w:type="dxa"/>
            <w:vAlign w:val="center"/>
            <w:hideMark/>
          </w:tcPr>
          <w:p w14:paraId="0D84C17F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Atraso na mobilização do canteiro de obras</w:t>
            </w:r>
          </w:p>
        </w:tc>
        <w:tc>
          <w:tcPr>
            <w:tcW w:w="1024" w:type="dxa"/>
            <w:vAlign w:val="center"/>
            <w:hideMark/>
          </w:tcPr>
          <w:p w14:paraId="38FFDCBC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4AC3E998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58E54921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1814" w:type="dxa"/>
            <w:vAlign w:val="center"/>
            <w:hideMark/>
          </w:tcPr>
          <w:p w14:paraId="6F3359D1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Definir cronograma físico-financeiro detalhado e prazo para início dos serviços</w:t>
            </w:r>
          </w:p>
        </w:tc>
        <w:tc>
          <w:tcPr>
            <w:tcW w:w="1813" w:type="dxa"/>
            <w:vAlign w:val="center"/>
            <w:hideMark/>
          </w:tcPr>
          <w:p w14:paraId="2009972C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Notificação formal da contratada e aplicação de penalidades previstas</w:t>
            </w:r>
          </w:p>
        </w:tc>
        <w:tc>
          <w:tcPr>
            <w:tcW w:w="1514" w:type="dxa"/>
            <w:vAlign w:val="center"/>
            <w:hideMark/>
          </w:tcPr>
          <w:p w14:paraId="2AF92A5C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Fiscal da Obra</w:t>
            </w:r>
          </w:p>
        </w:tc>
      </w:tr>
      <w:tr w:rsidR="00471136" w:rsidRPr="00471136" w14:paraId="262077C2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6B305FD6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671" w:type="dxa"/>
            <w:vAlign w:val="center"/>
            <w:hideMark/>
          </w:tcPr>
          <w:p w14:paraId="39D97673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Chuvas intensas prejudicarem a execução dos serviços</w:t>
            </w:r>
          </w:p>
        </w:tc>
        <w:tc>
          <w:tcPr>
            <w:tcW w:w="1024" w:type="dxa"/>
            <w:vAlign w:val="center"/>
            <w:hideMark/>
          </w:tcPr>
          <w:p w14:paraId="66A1EE38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14:paraId="6D3CCF61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50ECB1CD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1814" w:type="dxa"/>
            <w:vAlign w:val="center"/>
            <w:hideMark/>
          </w:tcPr>
          <w:p w14:paraId="236DDF2A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Planejamento da obra considerando a sazonalidade climática</w:t>
            </w:r>
          </w:p>
        </w:tc>
        <w:tc>
          <w:tcPr>
            <w:tcW w:w="1813" w:type="dxa"/>
            <w:vAlign w:val="center"/>
            <w:hideMark/>
          </w:tcPr>
          <w:p w14:paraId="491711FE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Reprogramação do cronograma mediante justificativa técnica</w:t>
            </w:r>
          </w:p>
        </w:tc>
        <w:tc>
          <w:tcPr>
            <w:tcW w:w="1514" w:type="dxa"/>
            <w:vAlign w:val="center"/>
            <w:hideMark/>
          </w:tcPr>
          <w:p w14:paraId="151A1EE8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Contratada e Fiscalização</w:t>
            </w:r>
          </w:p>
        </w:tc>
      </w:tr>
      <w:tr w:rsidR="00471136" w:rsidRPr="00471136" w14:paraId="295B755F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469F2046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671" w:type="dxa"/>
            <w:vAlign w:val="center"/>
            <w:hideMark/>
          </w:tcPr>
          <w:p w14:paraId="61A5EC41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Descoberta de interferências não identificadas (redes de água, esgoto, energia ou telecomunicações)</w:t>
            </w:r>
          </w:p>
        </w:tc>
        <w:tc>
          <w:tcPr>
            <w:tcW w:w="1024" w:type="dxa"/>
            <w:vAlign w:val="center"/>
            <w:hideMark/>
          </w:tcPr>
          <w:p w14:paraId="356556C0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0BBDD520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0CA5EA25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1814" w:type="dxa"/>
            <w:vAlign w:val="center"/>
            <w:hideMark/>
          </w:tcPr>
          <w:p w14:paraId="541445C9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Realizar levantamentos prévios junto às concessionárias</w:t>
            </w:r>
          </w:p>
        </w:tc>
        <w:tc>
          <w:tcPr>
            <w:tcW w:w="1813" w:type="dxa"/>
            <w:vAlign w:val="center"/>
            <w:hideMark/>
          </w:tcPr>
          <w:p w14:paraId="28C620A3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Adequação dos projetos e cronograma de execução</w:t>
            </w:r>
          </w:p>
        </w:tc>
        <w:tc>
          <w:tcPr>
            <w:tcW w:w="1514" w:type="dxa"/>
            <w:vAlign w:val="center"/>
            <w:hideMark/>
          </w:tcPr>
          <w:p w14:paraId="53DEE747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Setor de Engenharia</w:t>
            </w:r>
          </w:p>
        </w:tc>
      </w:tr>
      <w:tr w:rsidR="00471136" w:rsidRPr="00471136" w14:paraId="004C649A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34B28A8A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671" w:type="dxa"/>
            <w:vAlign w:val="center"/>
            <w:hideMark/>
          </w:tcPr>
          <w:p w14:paraId="40799F7B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Fornecimento inadequado ou atraso na entrega de materiais</w:t>
            </w:r>
          </w:p>
        </w:tc>
        <w:tc>
          <w:tcPr>
            <w:tcW w:w="1024" w:type="dxa"/>
            <w:vAlign w:val="center"/>
            <w:hideMark/>
          </w:tcPr>
          <w:p w14:paraId="14E8193D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271CEDB0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BD73914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1814" w:type="dxa"/>
            <w:vAlign w:val="center"/>
            <w:hideMark/>
          </w:tcPr>
          <w:p w14:paraId="2AB57A53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Exigir planejamento logístico da contratada e acompanhamento dos insumos</w:t>
            </w:r>
          </w:p>
        </w:tc>
        <w:tc>
          <w:tcPr>
            <w:tcW w:w="1813" w:type="dxa"/>
            <w:vAlign w:val="center"/>
            <w:hideMark/>
          </w:tcPr>
          <w:p w14:paraId="0F2295A0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Reprogramação das etapas e aplicação de penalidades contratuais</w:t>
            </w:r>
          </w:p>
        </w:tc>
        <w:tc>
          <w:tcPr>
            <w:tcW w:w="1514" w:type="dxa"/>
            <w:vAlign w:val="center"/>
            <w:hideMark/>
          </w:tcPr>
          <w:p w14:paraId="3CD2DBF0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Contratada</w:t>
            </w:r>
          </w:p>
        </w:tc>
      </w:tr>
      <w:tr w:rsidR="00471136" w:rsidRPr="00471136" w14:paraId="5ECD3C8D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0DBC1654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671" w:type="dxa"/>
            <w:vAlign w:val="center"/>
            <w:hideMark/>
          </w:tcPr>
          <w:p w14:paraId="03B158B5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Execução dos serviços em desacordo com as especificações técnicas</w:t>
            </w:r>
          </w:p>
        </w:tc>
        <w:tc>
          <w:tcPr>
            <w:tcW w:w="1024" w:type="dxa"/>
            <w:vAlign w:val="center"/>
            <w:hideMark/>
          </w:tcPr>
          <w:p w14:paraId="45A4BE79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5C2C061F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FF3C155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1814" w:type="dxa"/>
            <w:vAlign w:val="center"/>
            <w:hideMark/>
          </w:tcPr>
          <w:p w14:paraId="654CAD32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Fiscalização permanente e controle tecnológico dos materiais empregados</w:t>
            </w:r>
          </w:p>
        </w:tc>
        <w:tc>
          <w:tcPr>
            <w:tcW w:w="1813" w:type="dxa"/>
            <w:vAlign w:val="center"/>
            <w:hideMark/>
          </w:tcPr>
          <w:p w14:paraId="499D56C4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Determinação de correção ou refazimento dos serviços sem ônus para a Administração</w:t>
            </w:r>
          </w:p>
        </w:tc>
        <w:tc>
          <w:tcPr>
            <w:tcW w:w="1514" w:type="dxa"/>
            <w:vAlign w:val="center"/>
            <w:hideMark/>
          </w:tcPr>
          <w:p w14:paraId="341683DB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Fiscal da Obra</w:t>
            </w:r>
          </w:p>
        </w:tc>
      </w:tr>
      <w:tr w:rsidR="00471136" w:rsidRPr="00471136" w14:paraId="1A503FAE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0298DED1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671" w:type="dxa"/>
            <w:vAlign w:val="center"/>
            <w:hideMark/>
          </w:tcPr>
          <w:p w14:paraId="3DA8B97D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Acidentes de trabalho durante a execução da obra</w:t>
            </w:r>
          </w:p>
        </w:tc>
        <w:tc>
          <w:tcPr>
            <w:tcW w:w="1024" w:type="dxa"/>
            <w:vAlign w:val="center"/>
            <w:hideMark/>
          </w:tcPr>
          <w:p w14:paraId="0CE0C7C8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265D0632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59C36B07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1814" w:type="dxa"/>
            <w:vAlign w:val="center"/>
            <w:hideMark/>
          </w:tcPr>
          <w:p w14:paraId="38EDD498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Exigir cumprimento das normas de segurança e utilização de EPIs</w:t>
            </w:r>
          </w:p>
        </w:tc>
        <w:tc>
          <w:tcPr>
            <w:tcW w:w="1813" w:type="dxa"/>
            <w:vAlign w:val="center"/>
            <w:hideMark/>
          </w:tcPr>
          <w:p w14:paraId="17019806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Suspensão dos serviços até regularização das inconformidades</w:t>
            </w:r>
          </w:p>
        </w:tc>
        <w:tc>
          <w:tcPr>
            <w:tcW w:w="1514" w:type="dxa"/>
            <w:vAlign w:val="center"/>
            <w:hideMark/>
          </w:tcPr>
          <w:p w14:paraId="3331D8A0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Contratada</w:t>
            </w:r>
          </w:p>
        </w:tc>
      </w:tr>
      <w:tr w:rsidR="00471136" w:rsidRPr="00471136" w14:paraId="777C1650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13A7A99D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671" w:type="dxa"/>
            <w:vAlign w:val="center"/>
            <w:hideMark/>
          </w:tcPr>
          <w:p w14:paraId="2222B6BE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Necessidade de aditivos por quantitativos insuficientemente previstos</w:t>
            </w:r>
          </w:p>
        </w:tc>
        <w:tc>
          <w:tcPr>
            <w:tcW w:w="1024" w:type="dxa"/>
            <w:vAlign w:val="center"/>
            <w:hideMark/>
          </w:tcPr>
          <w:p w14:paraId="28C94E2C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4DC8BBD6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28DAD005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1814" w:type="dxa"/>
            <w:vAlign w:val="center"/>
            <w:hideMark/>
          </w:tcPr>
          <w:p w14:paraId="6D6B0A09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Levantamentos técnicos detalhados e projetos bem elaborados</w:t>
            </w:r>
          </w:p>
        </w:tc>
        <w:tc>
          <w:tcPr>
            <w:tcW w:w="1813" w:type="dxa"/>
            <w:vAlign w:val="center"/>
            <w:hideMark/>
          </w:tcPr>
          <w:p w14:paraId="3E6CDA47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Formalização de aditivo dentro dos limites legais</w:t>
            </w:r>
          </w:p>
        </w:tc>
        <w:tc>
          <w:tcPr>
            <w:tcW w:w="1514" w:type="dxa"/>
            <w:vAlign w:val="center"/>
            <w:hideMark/>
          </w:tcPr>
          <w:p w14:paraId="70FEBBEB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Setor de Engenharia</w:t>
            </w:r>
          </w:p>
        </w:tc>
      </w:tr>
      <w:tr w:rsidR="00471136" w:rsidRPr="00471136" w14:paraId="68299AF1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6E70E349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671" w:type="dxa"/>
            <w:vAlign w:val="center"/>
            <w:hideMark/>
          </w:tcPr>
          <w:p w14:paraId="7BCC5AD5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Atraso nos repasses de recursos financeiros do convênio ou instrumento de transferência</w:t>
            </w:r>
          </w:p>
        </w:tc>
        <w:tc>
          <w:tcPr>
            <w:tcW w:w="1024" w:type="dxa"/>
            <w:vAlign w:val="center"/>
            <w:hideMark/>
          </w:tcPr>
          <w:p w14:paraId="69C58C32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5AA04CE1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52B23119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1814" w:type="dxa"/>
            <w:vAlign w:val="center"/>
            <w:hideMark/>
          </w:tcPr>
          <w:p w14:paraId="1912725D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Acompanhamento contínuo da execução financeira e dos prazos do convênio</w:t>
            </w:r>
          </w:p>
        </w:tc>
        <w:tc>
          <w:tcPr>
            <w:tcW w:w="1813" w:type="dxa"/>
            <w:vAlign w:val="center"/>
            <w:hideMark/>
          </w:tcPr>
          <w:p w14:paraId="73BA0AEF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Readequação do cronograma físico-financeiro</w:t>
            </w:r>
          </w:p>
        </w:tc>
        <w:tc>
          <w:tcPr>
            <w:tcW w:w="1514" w:type="dxa"/>
            <w:vAlign w:val="center"/>
            <w:hideMark/>
          </w:tcPr>
          <w:p w14:paraId="43427905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Gestão do Convênio</w:t>
            </w:r>
          </w:p>
        </w:tc>
      </w:tr>
      <w:tr w:rsidR="00471136" w:rsidRPr="00471136" w14:paraId="3723BAAD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1F29FF7F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671" w:type="dxa"/>
            <w:vAlign w:val="center"/>
            <w:hideMark/>
          </w:tcPr>
          <w:p w14:paraId="293B6CDA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Danos ambientais decorrentes da execução da obra</w:t>
            </w:r>
          </w:p>
        </w:tc>
        <w:tc>
          <w:tcPr>
            <w:tcW w:w="1024" w:type="dxa"/>
            <w:vAlign w:val="center"/>
            <w:hideMark/>
          </w:tcPr>
          <w:p w14:paraId="67CBA622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0AB1565F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504B4331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1814" w:type="dxa"/>
            <w:vAlign w:val="center"/>
            <w:hideMark/>
          </w:tcPr>
          <w:p w14:paraId="725D8FFB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Observância das licenças e normas ambientais aplicáveis</w:t>
            </w:r>
          </w:p>
        </w:tc>
        <w:tc>
          <w:tcPr>
            <w:tcW w:w="1813" w:type="dxa"/>
            <w:vAlign w:val="center"/>
            <w:hideMark/>
          </w:tcPr>
          <w:p w14:paraId="0A698094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Adoção imediata de medidas corretivas e mitigadoras</w:t>
            </w:r>
          </w:p>
        </w:tc>
        <w:tc>
          <w:tcPr>
            <w:tcW w:w="1514" w:type="dxa"/>
            <w:vAlign w:val="center"/>
            <w:hideMark/>
          </w:tcPr>
          <w:p w14:paraId="0C7672EE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Contratada</w:t>
            </w:r>
          </w:p>
        </w:tc>
      </w:tr>
      <w:tr w:rsidR="00471136" w:rsidRPr="00471136" w14:paraId="7B37CECE" w14:textId="77777777" w:rsidTr="00471136">
        <w:trPr>
          <w:tblCellSpacing w:w="15" w:type="dxa"/>
        </w:trPr>
        <w:tc>
          <w:tcPr>
            <w:tcW w:w="380" w:type="dxa"/>
            <w:vAlign w:val="center"/>
            <w:hideMark/>
          </w:tcPr>
          <w:p w14:paraId="70BD4ABF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15</w:t>
            </w:r>
          </w:p>
        </w:tc>
        <w:tc>
          <w:tcPr>
            <w:tcW w:w="1671" w:type="dxa"/>
            <w:vAlign w:val="center"/>
            <w:hideMark/>
          </w:tcPr>
          <w:p w14:paraId="28E981AA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Descumprimento contratual pela empresa executora</w:t>
            </w:r>
          </w:p>
        </w:tc>
        <w:tc>
          <w:tcPr>
            <w:tcW w:w="1024" w:type="dxa"/>
            <w:vAlign w:val="center"/>
            <w:hideMark/>
          </w:tcPr>
          <w:p w14:paraId="21202F66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6AC73152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6BC0BC0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Alto</w:t>
            </w:r>
          </w:p>
        </w:tc>
        <w:tc>
          <w:tcPr>
            <w:tcW w:w="1814" w:type="dxa"/>
            <w:vAlign w:val="center"/>
            <w:hideMark/>
          </w:tcPr>
          <w:p w14:paraId="271BB36C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Fiscalização contínua e registro formal das ocorrências</w:t>
            </w:r>
          </w:p>
        </w:tc>
        <w:tc>
          <w:tcPr>
            <w:tcW w:w="1813" w:type="dxa"/>
            <w:vAlign w:val="center"/>
            <w:hideMark/>
          </w:tcPr>
          <w:p w14:paraId="6CBEF4A6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Aplicação de sanções administrativas previstas na Lei nº 14.133/2021 e no contrato</w:t>
            </w:r>
          </w:p>
        </w:tc>
        <w:tc>
          <w:tcPr>
            <w:tcW w:w="1514" w:type="dxa"/>
            <w:vAlign w:val="center"/>
            <w:hideMark/>
          </w:tcPr>
          <w:p w14:paraId="74BC69E8" w14:textId="77777777" w:rsidR="00471136" w:rsidRPr="00471136" w:rsidRDefault="00471136" w:rsidP="00471136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7113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Gestor e Fiscal do Contrato</w:t>
            </w:r>
          </w:p>
        </w:tc>
      </w:tr>
    </w:tbl>
    <w:p w14:paraId="2705B9D6" w14:textId="77777777" w:rsidR="00471136" w:rsidRPr="00471136" w:rsidRDefault="00471136" w:rsidP="00471136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47113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Classificação dos Riscos</w:t>
      </w:r>
    </w:p>
    <w:p w14:paraId="21B70A1B" w14:textId="77777777" w:rsidR="00471136" w:rsidRPr="00471136" w:rsidRDefault="00471136" w:rsidP="00471136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7113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Baixo:</w:t>
      </w:r>
      <w:r w:rsidRPr="00471136">
        <w:rPr>
          <w:rFonts w:ascii="Arial" w:eastAsia="Times New Roman" w:hAnsi="Arial" w:cs="Arial"/>
          <w:sz w:val="24"/>
          <w:szCs w:val="24"/>
          <w:lang w:eastAsia="pt-BR"/>
        </w:rPr>
        <w:t xml:space="preserve"> Probabilidade e impacto reduzidos.</w:t>
      </w:r>
    </w:p>
    <w:p w14:paraId="060B6C9A" w14:textId="77777777" w:rsidR="00471136" w:rsidRPr="00471136" w:rsidRDefault="00471136" w:rsidP="00471136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7113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Médio:</w:t>
      </w:r>
      <w:r w:rsidRPr="00471136">
        <w:rPr>
          <w:rFonts w:ascii="Arial" w:eastAsia="Times New Roman" w:hAnsi="Arial" w:cs="Arial"/>
          <w:sz w:val="24"/>
          <w:szCs w:val="24"/>
          <w:lang w:eastAsia="pt-BR"/>
        </w:rPr>
        <w:t xml:space="preserve"> Requer monitoramento periódico.</w:t>
      </w:r>
    </w:p>
    <w:p w14:paraId="2ADB370D" w14:textId="2874AEC5" w:rsidR="00471136" w:rsidRDefault="00471136" w:rsidP="00471136">
      <w:pPr>
        <w:numPr>
          <w:ilvl w:val="0"/>
          <w:numId w:val="4"/>
        </w:num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7113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Alto:</w:t>
      </w:r>
      <w:r w:rsidRPr="00471136">
        <w:rPr>
          <w:rFonts w:ascii="Arial" w:eastAsia="Times New Roman" w:hAnsi="Arial" w:cs="Arial"/>
          <w:sz w:val="24"/>
          <w:szCs w:val="24"/>
          <w:lang w:eastAsia="pt-BR"/>
        </w:rPr>
        <w:t xml:space="preserve"> Necessita ações preventivas e acompanhamento contínuo.</w:t>
      </w:r>
    </w:p>
    <w:p w14:paraId="784F8645" w14:textId="77777777" w:rsidR="00471136" w:rsidRPr="00471136" w:rsidRDefault="00471136" w:rsidP="00471136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99649AF" w14:textId="336F2AC7" w:rsidR="00471136" w:rsidRPr="00471136" w:rsidRDefault="00471136" w:rsidP="00471136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3 - </w:t>
      </w:r>
      <w:r w:rsidRPr="0047113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Estratégia de Tratamento</w:t>
      </w:r>
    </w:p>
    <w:p w14:paraId="659578A4" w14:textId="77777777" w:rsidR="00471136" w:rsidRPr="00471136" w:rsidRDefault="00471136" w:rsidP="00471136">
      <w:pPr>
        <w:suppressAutoHyphens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71136">
        <w:rPr>
          <w:rFonts w:ascii="Arial" w:eastAsia="Times New Roman" w:hAnsi="Arial" w:cs="Arial"/>
          <w:sz w:val="24"/>
          <w:szCs w:val="24"/>
          <w:lang w:eastAsia="pt-BR"/>
        </w:rPr>
        <w:t>Os riscos classificados como altos deverão ser acompanhados de forma contínua pela equipe de fiscalização e gestão contratual, mediante registros em relatórios de acompanhamento da obra, visando minimizar impactos sobre prazo, custo, qualidade e segurança da execução contratual.</w:t>
      </w:r>
    </w:p>
    <w:p w14:paraId="27A645A4" w14:textId="77777777" w:rsidR="005B5CA8" w:rsidRDefault="005B5CA8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F5F8FCA" w14:textId="6B2A3999" w:rsid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Belo Jardim, </w:t>
      </w:r>
      <w:r w:rsidR="00472EDA">
        <w:rPr>
          <w:rFonts w:ascii="Arial" w:eastAsia="Times New Roman" w:hAnsi="Arial" w:cs="Arial"/>
          <w:sz w:val="24"/>
          <w:szCs w:val="24"/>
          <w:lang w:eastAsia="pt-BR"/>
        </w:rPr>
        <w:t>10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471136">
        <w:rPr>
          <w:rFonts w:ascii="Arial" w:eastAsia="Times New Roman" w:hAnsi="Arial" w:cs="Arial"/>
          <w:sz w:val="24"/>
          <w:szCs w:val="24"/>
          <w:lang w:eastAsia="pt-BR"/>
        </w:rPr>
        <w:t>ju</w:t>
      </w:r>
      <w:r w:rsidR="00612742">
        <w:rPr>
          <w:rFonts w:ascii="Arial" w:eastAsia="Times New Roman" w:hAnsi="Arial" w:cs="Arial"/>
          <w:sz w:val="24"/>
          <w:szCs w:val="24"/>
          <w:lang w:eastAsia="pt-BR"/>
        </w:rPr>
        <w:t>l</w:t>
      </w:r>
      <w:r w:rsidR="00471136">
        <w:rPr>
          <w:rFonts w:ascii="Arial" w:eastAsia="Times New Roman" w:hAnsi="Arial" w:cs="Arial"/>
          <w:sz w:val="24"/>
          <w:szCs w:val="24"/>
          <w:lang w:eastAsia="pt-BR"/>
        </w:rPr>
        <w:t>ho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202</w:t>
      </w:r>
      <w:r>
        <w:rPr>
          <w:rFonts w:ascii="Arial" w:eastAsia="Times New Roman" w:hAnsi="Arial" w:cs="Arial"/>
          <w:sz w:val="24"/>
          <w:szCs w:val="24"/>
          <w:lang w:eastAsia="pt-BR"/>
        </w:rPr>
        <w:t>6</w:t>
      </w:r>
    </w:p>
    <w:p w14:paraId="2C8C5C5B" w14:textId="56E99615" w:rsidR="008146D0" w:rsidRDefault="008146D0" w:rsidP="008146D0">
      <w:pPr>
        <w:rPr>
          <w:rFonts w:ascii="Arial" w:eastAsia="Arial" w:hAnsi="Arial" w:cs="Arial"/>
          <w:sz w:val="24"/>
          <w:szCs w:val="24"/>
        </w:rPr>
      </w:pPr>
    </w:p>
    <w:p w14:paraId="26821E6B" w14:textId="1A54BE44" w:rsidR="00472EDA" w:rsidRPr="00472EDA" w:rsidRDefault="00472EDA" w:rsidP="00472EDA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472EDA">
        <w:rPr>
          <w:rFonts w:ascii="Arial" w:eastAsia="Arial" w:hAnsi="Arial" w:cs="Arial"/>
          <w:b/>
          <w:bCs/>
          <w:sz w:val="24"/>
          <w:szCs w:val="24"/>
        </w:rPr>
        <w:t>AUGUSTO LINS E SILVA FILHO</w:t>
      </w:r>
    </w:p>
    <w:p w14:paraId="05ABD6A6" w14:textId="2A9B2599" w:rsidR="005B5CA8" w:rsidRDefault="00471136" w:rsidP="0047113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Engenheiro Responsável</w:t>
      </w:r>
    </w:p>
    <w:p w14:paraId="5A2F960B" w14:textId="6E9C0BD8" w:rsidR="005B5CA8" w:rsidRDefault="005B5CA8" w:rsidP="008146D0">
      <w:pPr>
        <w:rPr>
          <w:rFonts w:ascii="Arial" w:eastAsia="Arial" w:hAnsi="Arial" w:cs="Arial"/>
          <w:sz w:val="24"/>
          <w:szCs w:val="24"/>
        </w:rPr>
      </w:pPr>
    </w:p>
    <w:p w14:paraId="41A06C96" w14:textId="77777777" w:rsidR="00BB3816" w:rsidRDefault="00BB3816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JOEDNA DE SOUZA SANTOS</w:t>
      </w:r>
    </w:p>
    <w:p w14:paraId="427291AE" w14:textId="30693CD0" w:rsidR="00BB3816" w:rsidRDefault="00BB3816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 w:rsidRPr="009F0912">
        <w:rPr>
          <w:rFonts w:ascii="Arial" w:eastAsia="Arial" w:hAnsi="Arial" w:cs="Arial"/>
          <w:sz w:val="24"/>
          <w:szCs w:val="24"/>
        </w:rPr>
        <w:t xml:space="preserve">Secretária de </w:t>
      </w:r>
      <w:r>
        <w:rPr>
          <w:rFonts w:ascii="Arial" w:eastAsia="Arial" w:hAnsi="Arial" w:cs="Arial"/>
          <w:sz w:val="24"/>
          <w:szCs w:val="24"/>
        </w:rPr>
        <w:t>I</w:t>
      </w:r>
      <w:r w:rsidRPr="009F0912">
        <w:rPr>
          <w:rFonts w:ascii="Arial" w:eastAsia="Arial" w:hAnsi="Arial" w:cs="Arial"/>
          <w:sz w:val="24"/>
          <w:szCs w:val="24"/>
        </w:rPr>
        <w:t xml:space="preserve">nfraestrutura e </w:t>
      </w:r>
      <w:r>
        <w:rPr>
          <w:rFonts w:ascii="Arial" w:eastAsia="Arial" w:hAnsi="Arial" w:cs="Arial"/>
          <w:sz w:val="24"/>
          <w:szCs w:val="24"/>
        </w:rPr>
        <w:t>U</w:t>
      </w:r>
      <w:r w:rsidRPr="009F0912">
        <w:rPr>
          <w:rFonts w:ascii="Arial" w:eastAsia="Arial" w:hAnsi="Arial" w:cs="Arial"/>
          <w:sz w:val="24"/>
          <w:szCs w:val="24"/>
        </w:rPr>
        <w:t>rbanismo</w:t>
      </w:r>
    </w:p>
    <w:p w14:paraId="504EC6E9" w14:textId="7931C031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04A7190E" w14:textId="1978EE4D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4F5ACD00" w14:textId="77777777" w:rsidR="007D57BD" w:rsidRDefault="007D57BD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6D5B733E" w14:textId="77777777" w:rsidR="00BF37B3" w:rsidRPr="00BF37B3" w:rsidRDefault="00BF37B3" w:rsidP="00BF37B3">
      <w:pPr>
        <w:rPr>
          <w:rFonts w:ascii="Times New Roman" w:eastAsia="Times New Roman" w:hAnsi="Times New Roman"/>
          <w:sz w:val="24"/>
          <w:szCs w:val="24"/>
          <w:lang w:eastAsia="pt-BR"/>
        </w:rPr>
      </w:pPr>
    </w:p>
    <w:sectPr w:rsidR="00BF37B3" w:rsidRPr="00BF37B3" w:rsidSect="002855CD">
      <w:headerReference w:type="default" r:id="rId8"/>
      <w:footerReference w:type="default" r:id="rId9"/>
      <w:pgSz w:w="11906" w:h="16838"/>
      <w:pgMar w:top="1417" w:right="1701" w:bottom="1417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6510F" w14:textId="77777777" w:rsidR="00B6492C" w:rsidRDefault="00B6492C">
      <w:pPr>
        <w:spacing w:after="0" w:line="240" w:lineRule="auto"/>
      </w:pPr>
      <w:r>
        <w:separator/>
      </w:r>
    </w:p>
  </w:endnote>
  <w:endnote w:type="continuationSeparator" w:id="0">
    <w:p w14:paraId="2F8C5C64" w14:textId="77777777" w:rsidR="00B6492C" w:rsidRDefault="00B64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0E45F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Av. Deputado José Mendonça Bezerra, nº 220 – Centro - Belo Jardim – PE.</w:t>
    </w:r>
  </w:p>
  <w:p w14:paraId="5815D85E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CEP: 55150-005 - CNPJ: 10.260.222/0001-05</w:t>
    </w:r>
  </w:p>
  <w:p w14:paraId="591A6F67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www.belojardim.pe.gov.br</w:t>
    </w:r>
  </w:p>
  <w:p w14:paraId="6630B9C7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  <w:p w14:paraId="7653EEB1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1C2D0" w14:textId="77777777" w:rsidR="00B6492C" w:rsidRDefault="00B6492C">
      <w:pPr>
        <w:spacing w:after="0" w:line="240" w:lineRule="auto"/>
      </w:pPr>
      <w:r>
        <w:separator/>
      </w:r>
    </w:p>
  </w:footnote>
  <w:footnote w:type="continuationSeparator" w:id="0">
    <w:p w14:paraId="0FFF4F67" w14:textId="77777777" w:rsidR="00B6492C" w:rsidRDefault="00B64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D2AE2" w14:textId="47AD9B25" w:rsidR="006666B1" w:rsidRDefault="00F01131">
    <w:pPr>
      <w:pStyle w:val="Cabealho"/>
      <w:jc w:val="center"/>
      <w:rPr>
        <w:rFonts w:ascii="Arial" w:hAnsi="Arial" w:cs="Arial"/>
        <w:color w:val="333399"/>
        <w:sz w:val="17"/>
        <w:szCs w:val="17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A25B254" wp14:editId="193F4A67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827587" cy="632379"/>
          <wp:effectExtent l="0" t="0" r="0" b="0"/>
          <wp:wrapNone/>
          <wp:docPr id="3" name="Imagem 3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7587" cy="632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A2E94E" w14:textId="77777777" w:rsidR="006666B1" w:rsidRDefault="006666B1">
    <w:pPr>
      <w:pStyle w:val="Cabealho"/>
      <w:jc w:val="center"/>
      <w:rPr>
        <w:rFonts w:ascii="Arial" w:hAnsi="Arial" w:cs="Arial"/>
        <w:color w:val="333399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718"/>
    <w:multiLevelType w:val="multilevel"/>
    <w:tmpl w:val="8042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239F7"/>
    <w:multiLevelType w:val="multilevel"/>
    <w:tmpl w:val="1480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D3161C"/>
    <w:multiLevelType w:val="multilevel"/>
    <w:tmpl w:val="B65C9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C151D7"/>
    <w:multiLevelType w:val="multilevel"/>
    <w:tmpl w:val="CA80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2416563">
    <w:abstractNumId w:val="0"/>
  </w:num>
  <w:num w:numId="2" w16cid:durableId="1278488550">
    <w:abstractNumId w:val="2"/>
  </w:num>
  <w:num w:numId="3" w16cid:durableId="1751266243">
    <w:abstractNumId w:val="3"/>
  </w:num>
  <w:num w:numId="4" w16cid:durableId="2127506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B1"/>
    <w:rsid w:val="000407E2"/>
    <w:rsid w:val="00044D69"/>
    <w:rsid w:val="00092D4C"/>
    <w:rsid w:val="000A3C85"/>
    <w:rsid w:val="000B3519"/>
    <w:rsid w:val="000E4AA4"/>
    <w:rsid w:val="001050BC"/>
    <w:rsid w:val="001404BD"/>
    <w:rsid w:val="001464A1"/>
    <w:rsid w:val="00186E9E"/>
    <w:rsid w:val="001A1146"/>
    <w:rsid w:val="001D5501"/>
    <w:rsid w:val="001E0B29"/>
    <w:rsid w:val="00274FE5"/>
    <w:rsid w:val="002855CD"/>
    <w:rsid w:val="002A3D36"/>
    <w:rsid w:val="002B4835"/>
    <w:rsid w:val="003051DF"/>
    <w:rsid w:val="0031495E"/>
    <w:rsid w:val="00321351"/>
    <w:rsid w:val="003E3693"/>
    <w:rsid w:val="00424F74"/>
    <w:rsid w:val="004404E8"/>
    <w:rsid w:val="00462FC4"/>
    <w:rsid w:val="00471136"/>
    <w:rsid w:val="00472EDA"/>
    <w:rsid w:val="004A6B5D"/>
    <w:rsid w:val="004D7010"/>
    <w:rsid w:val="004E5E2A"/>
    <w:rsid w:val="004F7430"/>
    <w:rsid w:val="0059782F"/>
    <w:rsid w:val="005B2554"/>
    <w:rsid w:val="005B5CA8"/>
    <w:rsid w:val="00600597"/>
    <w:rsid w:val="006006C2"/>
    <w:rsid w:val="00612742"/>
    <w:rsid w:val="00621D60"/>
    <w:rsid w:val="006666B1"/>
    <w:rsid w:val="006B3CCB"/>
    <w:rsid w:val="00707DC6"/>
    <w:rsid w:val="00732926"/>
    <w:rsid w:val="0077464D"/>
    <w:rsid w:val="007D57BD"/>
    <w:rsid w:val="00811204"/>
    <w:rsid w:val="008146D0"/>
    <w:rsid w:val="00845D26"/>
    <w:rsid w:val="008E1BAE"/>
    <w:rsid w:val="009267BE"/>
    <w:rsid w:val="0096082D"/>
    <w:rsid w:val="00983808"/>
    <w:rsid w:val="009A2A16"/>
    <w:rsid w:val="009C56E9"/>
    <w:rsid w:val="00A71BE7"/>
    <w:rsid w:val="00AC26D8"/>
    <w:rsid w:val="00AE7DD0"/>
    <w:rsid w:val="00AF3F2E"/>
    <w:rsid w:val="00B259A8"/>
    <w:rsid w:val="00B403B2"/>
    <w:rsid w:val="00B64306"/>
    <w:rsid w:val="00B6492C"/>
    <w:rsid w:val="00B656D2"/>
    <w:rsid w:val="00B85EA6"/>
    <w:rsid w:val="00BB3816"/>
    <w:rsid w:val="00BF37B3"/>
    <w:rsid w:val="00C35FAA"/>
    <w:rsid w:val="00C45834"/>
    <w:rsid w:val="00C51811"/>
    <w:rsid w:val="00C751D0"/>
    <w:rsid w:val="00CC2DDF"/>
    <w:rsid w:val="00CC6E5A"/>
    <w:rsid w:val="00D242D8"/>
    <w:rsid w:val="00D3645C"/>
    <w:rsid w:val="00D57DE7"/>
    <w:rsid w:val="00D73BBD"/>
    <w:rsid w:val="00D8624E"/>
    <w:rsid w:val="00D86EB4"/>
    <w:rsid w:val="00DB6A89"/>
    <w:rsid w:val="00DD43DA"/>
    <w:rsid w:val="00DF2000"/>
    <w:rsid w:val="00E13C08"/>
    <w:rsid w:val="00E309E8"/>
    <w:rsid w:val="00E475D8"/>
    <w:rsid w:val="00F01131"/>
    <w:rsid w:val="00F814D6"/>
    <w:rsid w:val="00FC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657E3"/>
  <w15:docId w15:val="{84C33B6E-77F1-48A4-8A31-6CAEA9F6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CA8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45D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2B756E"/>
  </w:style>
  <w:style w:type="character" w:customStyle="1" w:styleId="RodapChar">
    <w:name w:val="Rodapé Char"/>
    <w:basedOn w:val="Fontepargpadro"/>
    <w:link w:val="Rodap"/>
    <w:uiPriority w:val="99"/>
    <w:qFormat/>
    <w:rsid w:val="002B756E"/>
  </w:style>
  <w:style w:type="character" w:customStyle="1" w:styleId="TextodebaloChar">
    <w:name w:val="Texto de balão Char"/>
    <w:link w:val="Textodebalo"/>
    <w:uiPriority w:val="99"/>
    <w:semiHidden/>
    <w:qFormat/>
    <w:rsid w:val="00125E92"/>
    <w:rPr>
      <w:rFonts w:ascii="Tahoma" w:hAnsi="Tahoma" w:cs="Tahoma"/>
      <w:sz w:val="16"/>
      <w:szCs w:val="16"/>
      <w:lang w:eastAsia="en-US"/>
    </w:rPr>
  </w:style>
  <w:style w:type="character" w:customStyle="1" w:styleId="LinkdaInternet">
    <w:name w:val="Link da Internet"/>
    <w:uiPriority w:val="99"/>
    <w:unhideWhenUsed/>
    <w:rsid w:val="00021507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10924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25E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B109B"/>
    <w:pPr>
      <w:ind w:left="708"/>
    </w:pPr>
  </w:style>
  <w:style w:type="paragraph" w:styleId="NormalWeb">
    <w:name w:val="Normal (Web)"/>
    <w:basedOn w:val="Normal"/>
    <w:uiPriority w:val="99"/>
    <w:unhideWhenUsed/>
    <w:qFormat/>
    <w:rsid w:val="00454F94"/>
    <w:pPr>
      <w:spacing w:beforeAutospacing="1" w:afterAutospacing="1" w:line="240" w:lineRule="auto"/>
    </w:pPr>
    <w:rPr>
      <w:rFonts w:eastAsiaTheme="minorHAnsi" w:cs="Calibri"/>
      <w:lang w:eastAsia="pt-BR"/>
    </w:rPr>
  </w:style>
  <w:style w:type="paragraph" w:customStyle="1" w:styleId="western">
    <w:name w:val="western"/>
    <w:basedOn w:val="Normal"/>
    <w:qFormat/>
    <w:rsid w:val="00360E31"/>
    <w:pPr>
      <w:spacing w:beforeAutospacing="1" w:after="142" w:line="288" w:lineRule="auto"/>
    </w:pPr>
    <w:rPr>
      <w:rFonts w:eastAsia="Times New Roman" w:cs="Calibri"/>
      <w:color w:val="00000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855C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2855CD"/>
    <w:rPr>
      <w:rFonts w:ascii="Times New Roman" w:eastAsia="Times New Roman" w:hAnsi="Times New Roman"/>
      <w:b/>
      <w:bCs/>
      <w:sz w:val="27"/>
      <w:szCs w:val="27"/>
    </w:rPr>
  </w:style>
  <w:style w:type="character" w:styleId="Forte">
    <w:name w:val="Strong"/>
    <w:basedOn w:val="Fontepargpadro"/>
    <w:uiPriority w:val="22"/>
    <w:qFormat/>
    <w:rsid w:val="002855CD"/>
    <w:rPr>
      <w:b/>
      <w:bCs/>
    </w:rPr>
  </w:style>
  <w:style w:type="character" w:styleId="nfase">
    <w:name w:val="Emphasis"/>
    <w:basedOn w:val="Fontepargpadro"/>
    <w:uiPriority w:val="20"/>
    <w:qFormat/>
    <w:rsid w:val="002855CD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845D2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9A71-4C11-4BEE-A35D-5214AFE8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730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Belo Jardim, em 10 de junho de 2008</vt:lpstr>
    </vt:vector>
  </TitlesOfParts>
  <Company>GG Galvão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Belo Jardim, em 10 de junho de 2008</dc:title>
  <dc:subject/>
  <dc:creator>Gilvam George Galvão Cavalcante</dc:creator>
  <dc:description/>
  <cp:lastModifiedBy>Belo Jardim</cp:lastModifiedBy>
  <cp:revision>17</cp:revision>
  <cp:lastPrinted>2024-08-05T11:51:00Z</cp:lastPrinted>
  <dcterms:created xsi:type="dcterms:W3CDTF">2025-01-06T12:04:00Z</dcterms:created>
  <dcterms:modified xsi:type="dcterms:W3CDTF">2026-07-10T13:59:00Z</dcterms:modified>
  <dc:language>pt-BR</dc:language>
</cp:coreProperties>
</file>